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590" w:firstLineChars="196"/>
        <w:rPr>
          <w:rFonts w:ascii="仿宋" w:hAnsi="仿宋" w:eastAsia="仿宋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计算机与信息学院分党校第十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期发展对象培训班教学安排表</w:t>
      </w:r>
    </w:p>
    <w:tbl>
      <w:tblPr>
        <w:tblStyle w:val="14"/>
        <w:tblW w:w="10128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851"/>
        <w:gridCol w:w="1094"/>
        <w:gridCol w:w="1500"/>
        <w:gridCol w:w="2047"/>
        <w:gridCol w:w="1170"/>
        <w:gridCol w:w="690"/>
        <w:gridCol w:w="810"/>
        <w:gridCol w:w="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日期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授课教师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（主持人）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（职称）</w:t>
            </w:r>
          </w:p>
        </w:tc>
        <w:tc>
          <w:tcPr>
            <w:tcW w:w="2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学习（活动）内容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培训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形式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培训学时</w:t>
            </w:r>
          </w:p>
        </w:tc>
        <w:tc>
          <w:tcPr>
            <w:tcW w:w="8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培训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18：30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开班典礼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Theme="minorEastAsia"/>
                <w:lang w:val="en-US" w:eastAsia="zh-CN"/>
              </w:rPr>
              <w:t>党建专题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ascii="宋体" w:hAnsi="宋体"/>
                <w:b w:val="0"/>
                <w:bCs w:val="0"/>
                <w:color w:val="000000" w:themeColor="text1"/>
                <w:sz w:val="24"/>
                <w:highlight w:val="yellow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9：00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郭广春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材料科学与工程学院党委书记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党风廉政教育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ascii="宋体" w:hAnsi="宋体"/>
                <w:b w:val="0"/>
                <w:bCs w:val="0"/>
                <w:color w:val="000000" w:themeColor="text1"/>
                <w:sz w:val="24"/>
                <w:highlight w:val="yellow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10：30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魏晓飞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组织员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《中国共产党章程（修正案）》等党规党纪解读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交流研讨 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华文仿宋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程启雷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校征兵工作站负责人</w:t>
            </w:r>
          </w:p>
        </w:tc>
        <w:tc>
          <w:tcPr>
            <w:tcW w:w="2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作风教育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Theme="minorEastAsia"/>
                <w:b w:val="0"/>
                <w:bCs w:val="0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20：00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许晓菁</w:t>
            </w:r>
          </w:p>
        </w:tc>
        <w:tc>
          <w:tcPr>
            <w:tcW w:w="1500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hint="eastAsia" w:eastAsia="宋体" w:cs="Times New Roman" w:asciiTheme="minorEastAsia" w:hAnsi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离退休教师（原设计学院的党委书记）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理想信念教育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华文仿宋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10：30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瞿陆子慧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围绕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两会精神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开展交流研讨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交流研讨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华文仿宋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黎新宏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组织部科长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马克思主义为什么“行”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华文仿宋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9：00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瞿陆子慧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参观博物馆/纪念馆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实践活动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9：00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刘聪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5" w:leftChars="50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马克思主义学院教授</w:t>
            </w:r>
          </w:p>
        </w:tc>
        <w:tc>
          <w:tcPr>
            <w:tcW w:w="2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马克思主义宗教观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华文仿宋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10：00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孔超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5" w:leftChars="50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支部书记</w:t>
            </w:r>
          </w:p>
        </w:tc>
        <w:tc>
          <w:tcPr>
            <w:tcW w:w="2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赓续党的红色血脉，弘扬党的优良传统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瞿陆子慧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党校结业考试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结业考试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华文仿宋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  <w:t>16：30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04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outlineLvl w:val="1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华文仿宋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  <w:t>17：00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结业典礼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华文仿宋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00" w:lineRule="exact"/>
        <w:jc w:val="left"/>
        <w:rPr>
          <w:rFonts w:ascii="仿宋" w:hAnsi="仿宋" w:eastAsia="仿宋"/>
          <w:b/>
          <w:color w:val="000000"/>
          <w:kern w:val="0"/>
          <w:sz w:val="28"/>
          <w:szCs w:val="28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0556A5-F03E-4860-9A3D-EB089D5F818C}">
  <ds:schemaRefs/>
</ds:datastoreItem>
</file>